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DFD" w:rsidRDefault="008D52AD" w:rsidP="008D52AD">
      <w:pPr>
        <w:pStyle w:val="Overskrift1"/>
      </w:pPr>
      <w:bookmarkStart w:id="0" w:name="_GoBack"/>
      <w:r>
        <w:t>Skema til underretning ved udsættelse af</w:t>
      </w:r>
      <w:r w:rsidR="004F570E">
        <w:t xml:space="preserve"> offentliggørelse af </w:t>
      </w:r>
    </w:p>
    <w:bookmarkEnd w:id="0"/>
    <w:p w:rsidR="001B637F" w:rsidRDefault="008D52AD" w:rsidP="008D52AD">
      <w:pPr>
        <w:pStyle w:val="Overskrift1"/>
      </w:pPr>
      <w:r>
        <w:t>intern viden</w:t>
      </w:r>
    </w:p>
    <w:p w:rsidR="008D52AD" w:rsidRDefault="008D52AD" w:rsidP="008D52AD"/>
    <w:p w:rsidR="008D52AD" w:rsidRPr="008D52AD" w:rsidRDefault="008D52AD" w:rsidP="008D52AD">
      <w:pPr>
        <w:pStyle w:val="Listeafsnit"/>
        <w:numPr>
          <w:ilvl w:val="0"/>
          <w:numId w:val="3"/>
        </w:numPr>
        <w:rPr>
          <w:b/>
        </w:rPr>
      </w:pPr>
      <w:r w:rsidRPr="008D52AD">
        <w:rPr>
          <w:b/>
        </w:rPr>
        <w:t xml:space="preserve">Identiteten på udsteder eller deltager på markedet for emissionskvoter </w:t>
      </w:r>
    </w:p>
    <w:p w:rsidR="008D52AD" w:rsidRPr="008D52AD" w:rsidRDefault="008D52AD" w:rsidP="00597FF9">
      <w:pPr>
        <w:pStyle w:val="Listeafsnit"/>
        <w:numPr>
          <w:ilvl w:val="0"/>
          <w:numId w:val="8"/>
        </w:numPr>
        <w:rPr>
          <w:i/>
          <w:sz w:val="18"/>
          <w:szCs w:val="18"/>
        </w:rPr>
      </w:pPr>
      <w:r w:rsidRPr="008D52AD">
        <w:rPr>
          <w:i/>
          <w:sz w:val="18"/>
          <w:szCs w:val="18"/>
        </w:rPr>
        <w:t>Navn og CVR</w:t>
      </w:r>
      <w:r w:rsidR="006501E1">
        <w:rPr>
          <w:i/>
          <w:sz w:val="18"/>
          <w:szCs w:val="18"/>
        </w:rPr>
        <w:t>-</w:t>
      </w:r>
      <w:r w:rsidRPr="008D52AD">
        <w:rPr>
          <w:i/>
          <w:sz w:val="18"/>
          <w:szCs w:val="18"/>
        </w:rPr>
        <w:t>nr</w:t>
      </w:r>
      <w:r w:rsidR="006501E1">
        <w:rPr>
          <w:i/>
          <w:sz w:val="18"/>
          <w:szCs w:val="18"/>
        </w:rPr>
        <w:t>.</w:t>
      </w:r>
    </w:p>
    <w:p w:rsidR="008D52AD" w:rsidRDefault="008D52AD" w:rsidP="008D52AD"/>
    <w:tbl>
      <w:tblPr>
        <w:tblStyle w:val="Tabel-Gitter"/>
        <w:tblW w:w="0" w:type="auto"/>
        <w:tblLook w:val="04A0" w:firstRow="1" w:lastRow="0" w:firstColumn="1" w:lastColumn="0" w:noHBand="0" w:noVBand="1"/>
      </w:tblPr>
      <w:tblGrid>
        <w:gridCol w:w="9628"/>
      </w:tblGrid>
      <w:tr w:rsidR="008D52AD" w:rsidTr="005903DD">
        <w:trPr>
          <w:trHeight w:val="928"/>
        </w:trPr>
        <w:tc>
          <w:tcPr>
            <w:tcW w:w="13576" w:type="dxa"/>
            <w:shd w:val="clear" w:color="auto" w:fill="96EEFF" w:themeFill="accent3" w:themeFillTint="40"/>
          </w:tcPr>
          <w:p w:rsidR="008D52AD" w:rsidRDefault="008D52AD" w:rsidP="008D52AD"/>
        </w:tc>
      </w:tr>
    </w:tbl>
    <w:p w:rsidR="008D52AD" w:rsidRDefault="008D52AD" w:rsidP="008D52AD"/>
    <w:p w:rsidR="008D52AD" w:rsidRDefault="008D52AD" w:rsidP="008D52AD">
      <w:pPr>
        <w:pStyle w:val="Listeafsnit"/>
        <w:numPr>
          <w:ilvl w:val="0"/>
          <w:numId w:val="3"/>
        </w:numPr>
        <w:rPr>
          <w:b/>
        </w:rPr>
      </w:pPr>
      <w:r w:rsidRPr="008D52AD">
        <w:rPr>
          <w:b/>
        </w:rPr>
        <w:t xml:space="preserve">Identiteten på </w:t>
      </w:r>
      <w:r w:rsidR="00B04A7D">
        <w:rPr>
          <w:b/>
        </w:rPr>
        <w:t xml:space="preserve">den, der indsender underretningen </w:t>
      </w:r>
      <w:r w:rsidRPr="008D52AD">
        <w:rPr>
          <w:b/>
        </w:rPr>
        <w:t xml:space="preserve"> </w:t>
      </w:r>
    </w:p>
    <w:p w:rsidR="008D52AD" w:rsidRPr="00597FF9" w:rsidRDefault="008D52AD" w:rsidP="00597FF9">
      <w:pPr>
        <w:pStyle w:val="Listeafsnit"/>
        <w:numPr>
          <w:ilvl w:val="0"/>
          <w:numId w:val="7"/>
        </w:numPr>
        <w:rPr>
          <w:i/>
          <w:sz w:val="18"/>
          <w:szCs w:val="18"/>
        </w:rPr>
      </w:pPr>
      <w:r w:rsidRPr="00597FF9">
        <w:rPr>
          <w:i/>
          <w:sz w:val="18"/>
          <w:szCs w:val="18"/>
        </w:rPr>
        <w:t>Stillingsbetegnelse, navn, telefonnummer og e-mail</w:t>
      </w:r>
    </w:p>
    <w:p w:rsidR="008D52AD" w:rsidRDefault="008D52AD" w:rsidP="008D52AD"/>
    <w:tbl>
      <w:tblPr>
        <w:tblStyle w:val="Tabel-Gitter"/>
        <w:tblW w:w="0" w:type="auto"/>
        <w:tblLook w:val="04A0" w:firstRow="1" w:lastRow="0" w:firstColumn="1" w:lastColumn="0" w:noHBand="0" w:noVBand="1"/>
      </w:tblPr>
      <w:tblGrid>
        <w:gridCol w:w="9628"/>
      </w:tblGrid>
      <w:tr w:rsidR="008D52AD" w:rsidTr="005903DD">
        <w:trPr>
          <w:trHeight w:val="928"/>
        </w:trPr>
        <w:tc>
          <w:tcPr>
            <w:tcW w:w="13576" w:type="dxa"/>
            <w:shd w:val="clear" w:color="auto" w:fill="96EEFF" w:themeFill="accent3" w:themeFillTint="40"/>
          </w:tcPr>
          <w:p w:rsidR="008D52AD" w:rsidRDefault="008D52AD" w:rsidP="004E7DC9"/>
        </w:tc>
      </w:tr>
    </w:tbl>
    <w:p w:rsidR="008D52AD" w:rsidRDefault="008D52AD" w:rsidP="008D52AD"/>
    <w:p w:rsidR="008D52AD" w:rsidRDefault="008D52AD" w:rsidP="008D52AD">
      <w:pPr>
        <w:pStyle w:val="Listeafsnit"/>
        <w:numPr>
          <w:ilvl w:val="0"/>
          <w:numId w:val="3"/>
        </w:numPr>
        <w:rPr>
          <w:b/>
        </w:rPr>
      </w:pPr>
      <w:r w:rsidRPr="008D52AD">
        <w:rPr>
          <w:b/>
        </w:rPr>
        <w:t>Beskrivelse af den interne viden, som har været udsat</w:t>
      </w:r>
    </w:p>
    <w:p w:rsidR="00597FF9" w:rsidRDefault="00597FF9" w:rsidP="008D52AD">
      <w:pPr>
        <w:pStyle w:val="Listeafsnit"/>
        <w:numPr>
          <w:ilvl w:val="0"/>
          <w:numId w:val="5"/>
        </w:numPr>
        <w:rPr>
          <w:i/>
          <w:sz w:val="18"/>
          <w:szCs w:val="18"/>
        </w:rPr>
      </w:pPr>
      <w:r w:rsidRPr="00597FF9">
        <w:rPr>
          <w:i/>
          <w:sz w:val="18"/>
          <w:szCs w:val="18"/>
        </w:rPr>
        <w:t>Tit</w:t>
      </w:r>
      <w:r w:rsidR="00E6258A">
        <w:rPr>
          <w:i/>
          <w:sz w:val="18"/>
          <w:szCs w:val="18"/>
        </w:rPr>
        <w:t xml:space="preserve">el og referencenummer </w:t>
      </w:r>
      <w:r w:rsidRPr="00597FF9">
        <w:rPr>
          <w:i/>
          <w:sz w:val="18"/>
          <w:szCs w:val="18"/>
        </w:rPr>
        <w:t>på selskabsmeddelelsen</w:t>
      </w:r>
      <w:r>
        <w:rPr>
          <w:i/>
          <w:sz w:val="18"/>
          <w:szCs w:val="18"/>
        </w:rPr>
        <w:t>,</w:t>
      </w:r>
      <w:r w:rsidRPr="00597FF9">
        <w:rPr>
          <w:i/>
          <w:sz w:val="18"/>
          <w:szCs w:val="18"/>
        </w:rPr>
        <w:t xml:space="preserve"> hvor den interne viden blev offentliggjort</w:t>
      </w:r>
    </w:p>
    <w:p w:rsidR="00597FF9" w:rsidRPr="00597FF9" w:rsidRDefault="00597FF9" w:rsidP="008D52AD">
      <w:pPr>
        <w:pStyle w:val="Listeafsnit"/>
        <w:numPr>
          <w:ilvl w:val="0"/>
          <w:numId w:val="5"/>
        </w:numPr>
        <w:rPr>
          <w:i/>
          <w:sz w:val="18"/>
          <w:szCs w:val="18"/>
        </w:rPr>
      </w:pPr>
      <w:r>
        <w:rPr>
          <w:i/>
          <w:sz w:val="18"/>
          <w:szCs w:val="18"/>
        </w:rPr>
        <w:t>Angivelse af</w:t>
      </w:r>
      <w:r w:rsidR="006501E1">
        <w:rPr>
          <w:i/>
          <w:sz w:val="18"/>
          <w:szCs w:val="18"/>
        </w:rPr>
        <w:t>,</w:t>
      </w:r>
      <w:r>
        <w:rPr>
          <w:i/>
          <w:sz w:val="18"/>
          <w:szCs w:val="18"/>
        </w:rPr>
        <w:t xml:space="preserve"> hvilken del af indholdet af selskabsmeddelelsen </w:t>
      </w:r>
      <w:r w:rsidR="006501E1">
        <w:rPr>
          <w:i/>
          <w:sz w:val="18"/>
          <w:szCs w:val="18"/>
        </w:rPr>
        <w:t>der</w:t>
      </w:r>
      <w:r w:rsidR="00B04A7D">
        <w:rPr>
          <w:i/>
          <w:sz w:val="18"/>
          <w:szCs w:val="18"/>
        </w:rPr>
        <w:t xml:space="preserve"> udgjorde intern viden</w:t>
      </w:r>
      <w:r w:rsidR="006501E1">
        <w:rPr>
          <w:i/>
          <w:sz w:val="18"/>
          <w:szCs w:val="18"/>
        </w:rPr>
        <w:t>,</w:t>
      </w:r>
      <w:r w:rsidR="00B04A7D">
        <w:rPr>
          <w:i/>
          <w:sz w:val="18"/>
          <w:szCs w:val="18"/>
        </w:rPr>
        <w:t xml:space="preserve"> og hvis offentliggørelse blev udsat</w:t>
      </w:r>
    </w:p>
    <w:p w:rsidR="008D52AD" w:rsidRDefault="008D52AD" w:rsidP="008D52AD"/>
    <w:tbl>
      <w:tblPr>
        <w:tblStyle w:val="Tabel-Gitter"/>
        <w:tblW w:w="0" w:type="auto"/>
        <w:tblLook w:val="04A0" w:firstRow="1" w:lastRow="0" w:firstColumn="1" w:lastColumn="0" w:noHBand="0" w:noVBand="1"/>
      </w:tblPr>
      <w:tblGrid>
        <w:gridCol w:w="9628"/>
      </w:tblGrid>
      <w:tr w:rsidR="008D52AD" w:rsidTr="005903DD">
        <w:trPr>
          <w:trHeight w:val="928"/>
        </w:trPr>
        <w:tc>
          <w:tcPr>
            <w:tcW w:w="13576" w:type="dxa"/>
            <w:shd w:val="clear" w:color="auto" w:fill="96EEFF" w:themeFill="accent3" w:themeFillTint="40"/>
          </w:tcPr>
          <w:p w:rsidR="008D52AD" w:rsidRDefault="008D52AD" w:rsidP="004E7DC9"/>
        </w:tc>
      </w:tr>
    </w:tbl>
    <w:p w:rsidR="008D52AD" w:rsidRDefault="008D52AD" w:rsidP="008D52AD"/>
    <w:p w:rsidR="005903DD" w:rsidRPr="005903DD" w:rsidRDefault="005903DD" w:rsidP="005903DD">
      <w:pPr>
        <w:pStyle w:val="Listeafsnit"/>
        <w:numPr>
          <w:ilvl w:val="0"/>
          <w:numId w:val="3"/>
        </w:numPr>
        <w:rPr>
          <w:b/>
        </w:rPr>
      </w:pPr>
      <w:r w:rsidRPr="005903DD">
        <w:rPr>
          <w:b/>
        </w:rPr>
        <w:t>Tidspunkt, hvor beslutningen om udsættelse af intern viden blev taget</w:t>
      </w:r>
    </w:p>
    <w:p w:rsidR="005903DD" w:rsidRPr="00597FF9" w:rsidRDefault="005903DD" w:rsidP="00597FF9">
      <w:pPr>
        <w:pStyle w:val="Listeafsnit"/>
        <w:numPr>
          <w:ilvl w:val="0"/>
          <w:numId w:val="6"/>
        </w:numPr>
        <w:rPr>
          <w:i/>
          <w:sz w:val="18"/>
          <w:szCs w:val="18"/>
        </w:rPr>
      </w:pPr>
      <w:r w:rsidRPr="00597FF9">
        <w:rPr>
          <w:i/>
          <w:sz w:val="18"/>
          <w:szCs w:val="18"/>
        </w:rPr>
        <w:t>Dato</w:t>
      </w:r>
      <w:r w:rsidR="00E6258A">
        <w:rPr>
          <w:i/>
          <w:sz w:val="18"/>
          <w:szCs w:val="18"/>
        </w:rPr>
        <w:t xml:space="preserve"> og</w:t>
      </w:r>
      <w:r w:rsidRPr="00597FF9">
        <w:rPr>
          <w:i/>
          <w:sz w:val="18"/>
          <w:szCs w:val="18"/>
        </w:rPr>
        <w:t xml:space="preserve"> klokkeslæt</w:t>
      </w:r>
    </w:p>
    <w:p w:rsidR="005903DD" w:rsidRPr="005903DD" w:rsidRDefault="005903DD" w:rsidP="005903DD">
      <w:pPr>
        <w:rPr>
          <w:sz w:val="18"/>
          <w:szCs w:val="18"/>
        </w:rPr>
      </w:pPr>
    </w:p>
    <w:tbl>
      <w:tblPr>
        <w:tblStyle w:val="Tabel-Gitter"/>
        <w:tblW w:w="0" w:type="auto"/>
        <w:tblLook w:val="04A0" w:firstRow="1" w:lastRow="0" w:firstColumn="1" w:lastColumn="0" w:noHBand="0" w:noVBand="1"/>
      </w:tblPr>
      <w:tblGrid>
        <w:gridCol w:w="9628"/>
      </w:tblGrid>
      <w:tr w:rsidR="005903DD" w:rsidTr="005903DD">
        <w:trPr>
          <w:trHeight w:val="928"/>
        </w:trPr>
        <w:tc>
          <w:tcPr>
            <w:tcW w:w="13576" w:type="dxa"/>
            <w:shd w:val="clear" w:color="auto" w:fill="96EEFF" w:themeFill="accent3" w:themeFillTint="40"/>
          </w:tcPr>
          <w:p w:rsidR="005903DD" w:rsidRDefault="005903DD" w:rsidP="005903DD">
            <w:pPr>
              <w:pStyle w:val="Listeafsnit"/>
              <w:ind w:left="360"/>
            </w:pPr>
          </w:p>
        </w:tc>
      </w:tr>
    </w:tbl>
    <w:p w:rsidR="005903DD" w:rsidRDefault="005903DD" w:rsidP="005903DD"/>
    <w:p w:rsidR="005903DD" w:rsidRDefault="005903DD" w:rsidP="005903DD"/>
    <w:p w:rsidR="008D52AD" w:rsidRDefault="005903DD" w:rsidP="005903DD">
      <w:pPr>
        <w:pStyle w:val="Listeafsnit"/>
        <w:numPr>
          <w:ilvl w:val="0"/>
          <w:numId w:val="3"/>
        </w:numPr>
        <w:rPr>
          <w:b/>
        </w:rPr>
      </w:pPr>
      <w:r w:rsidRPr="005903DD">
        <w:rPr>
          <w:b/>
        </w:rPr>
        <w:t xml:space="preserve">Identiteten på de fysiske personer, der har taget beslutningen </w:t>
      </w:r>
      <w:r w:rsidR="00E6258A">
        <w:rPr>
          <w:b/>
        </w:rPr>
        <w:t>om</w:t>
      </w:r>
      <w:r w:rsidRPr="005903DD">
        <w:rPr>
          <w:b/>
        </w:rPr>
        <w:t xml:space="preserve"> at</w:t>
      </w:r>
      <w:r w:rsidR="00E6258A">
        <w:rPr>
          <w:b/>
        </w:rPr>
        <w:t xml:space="preserve"> udsætte</w:t>
      </w:r>
      <w:r w:rsidRPr="005903DD">
        <w:rPr>
          <w:b/>
        </w:rPr>
        <w:t xml:space="preserve"> </w:t>
      </w:r>
      <w:r w:rsidR="00E6258A">
        <w:rPr>
          <w:b/>
        </w:rPr>
        <w:t xml:space="preserve">offentliggørelse af </w:t>
      </w:r>
      <w:r w:rsidRPr="005903DD">
        <w:rPr>
          <w:b/>
        </w:rPr>
        <w:t xml:space="preserve">den interne viden </w:t>
      </w:r>
    </w:p>
    <w:p w:rsidR="005903DD" w:rsidRPr="00597FF9" w:rsidRDefault="005903DD" w:rsidP="00597FF9">
      <w:pPr>
        <w:pStyle w:val="Listeafsnit"/>
        <w:numPr>
          <w:ilvl w:val="0"/>
          <w:numId w:val="6"/>
        </w:numPr>
        <w:rPr>
          <w:i/>
          <w:sz w:val="18"/>
          <w:szCs w:val="18"/>
        </w:rPr>
      </w:pPr>
      <w:r w:rsidRPr="00597FF9">
        <w:rPr>
          <w:i/>
          <w:sz w:val="18"/>
          <w:szCs w:val="18"/>
        </w:rPr>
        <w:t>Stillingsbetegnelse</w:t>
      </w:r>
      <w:r w:rsidR="00B04A7D">
        <w:rPr>
          <w:i/>
          <w:sz w:val="18"/>
          <w:szCs w:val="18"/>
        </w:rPr>
        <w:t xml:space="preserve"> og</w:t>
      </w:r>
      <w:r w:rsidRPr="00597FF9">
        <w:rPr>
          <w:i/>
          <w:sz w:val="18"/>
          <w:szCs w:val="18"/>
        </w:rPr>
        <w:t xml:space="preserve"> navn</w:t>
      </w:r>
    </w:p>
    <w:p w:rsidR="005903DD" w:rsidRPr="005903DD" w:rsidRDefault="005903DD" w:rsidP="005903DD">
      <w:pPr>
        <w:rPr>
          <w:b/>
        </w:rPr>
      </w:pPr>
    </w:p>
    <w:tbl>
      <w:tblPr>
        <w:tblStyle w:val="Tabel-Gitter"/>
        <w:tblW w:w="0" w:type="auto"/>
        <w:tblLook w:val="04A0" w:firstRow="1" w:lastRow="0" w:firstColumn="1" w:lastColumn="0" w:noHBand="0" w:noVBand="1"/>
      </w:tblPr>
      <w:tblGrid>
        <w:gridCol w:w="9628"/>
      </w:tblGrid>
      <w:tr w:rsidR="005903DD" w:rsidTr="005903DD">
        <w:trPr>
          <w:trHeight w:val="928"/>
        </w:trPr>
        <w:tc>
          <w:tcPr>
            <w:tcW w:w="13576" w:type="dxa"/>
            <w:shd w:val="clear" w:color="auto" w:fill="96EEFF" w:themeFill="accent3" w:themeFillTint="40"/>
          </w:tcPr>
          <w:p w:rsidR="005903DD" w:rsidRDefault="005903DD" w:rsidP="005903DD">
            <w:pPr>
              <w:pStyle w:val="Listeafsnit"/>
              <w:ind w:left="360"/>
            </w:pPr>
          </w:p>
        </w:tc>
      </w:tr>
    </w:tbl>
    <w:p w:rsidR="005903DD" w:rsidRDefault="005903DD" w:rsidP="005903DD"/>
    <w:p w:rsidR="00B04A7D" w:rsidRDefault="00B04A7D" w:rsidP="00B04A7D">
      <w:pPr>
        <w:pStyle w:val="Overskrift2"/>
      </w:pPr>
    </w:p>
    <w:p w:rsidR="008D52AD" w:rsidRDefault="008D52AD" w:rsidP="004446ED">
      <w:pPr>
        <w:pStyle w:val="Overskrift2"/>
      </w:pPr>
      <w:r>
        <w:t>Retsgrundlaget</w:t>
      </w:r>
    </w:p>
    <w:p w:rsidR="008D52AD" w:rsidRPr="008D52AD" w:rsidRDefault="008D52AD">
      <w:r w:rsidRPr="008D52AD">
        <w:t>Det f</w:t>
      </w:r>
      <w:r w:rsidR="000804CE">
        <w:t>remgår af artikel 17, stk. 4 i m</w:t>
      </w:r>
      <w:r w:rsidRPr="008D52AD">
        <w:t xml:space="preserve">arkedsmisbrugsforordningen (Europa-Parlamentets og Rådets Forordning (EU) nr. 596/2014 af 16. april 2014 om markedsmisbrug), at en udsteder eller en deltager på markedet for emissionskvoter på eget ansvar </w:t>
      </w:r>
      <w:r w:rsidR="00E6258A">
        <w:t xml:space="preserve">kan </w:t>
      </w:r>
      <w:r w:rsidRPr="008D52AD">
        <w:t xml:space="preserve">udsætte offentliggørelsen af intern viden, forudsat at alle de følgende betingelser er opfyldt: </w:t>
      </w:r>
    </w:p>
    <w:p w:rsidR="008D52AD" w:rsidRPr="008D52AD" w:rsidRDefault="008D52AD" w:rsidP="004446ED">
      <w:pPr>
        <w:pStyle w:val="Listeafsnit"/>
        <w:numPr>
          <w:ilvl w:val="1"/>
          <w:numId w:val="3"/>
        </w:numPr>
        <w:ind w:left="993"/>
      </w:pPr>
      <w:r w:rsidRPr="008D52AD">
        <w:t>øjeblikkelig offentliggørelse antages at skade legitime interesser for udstederen eller deltageren på markedet for emissionskvoter</w:t>
      </w:r>
    </w:p>
    <w:p w:rsidR="008D52AD" w:rsidRPr="008D52AD" w:rsidRDefault="008D52AD" w:rsidP="004446ED">
      <w:pPr>
        <w:pStyle w:val="Listeafsnit"/>
        <w:numPr>
          <w:ilvl w:val="1"/>
          <w:numId w:val="3"/>
        </w:numPr>
        <w:ind w:left="993"/>
      </w:pPr>
      <w:r w:rsidRPr="008D52AD">
        <w:t xml:space="preserve">udsættelse af offentliggørelsen antages ikke at vildlede offentligheden </w:t>
      </w:r>
    </w:p>
    <w:p w:rsidR="008D52AD" w:rsidRPr="008D52AD" w:rsidRDefault="008D52AD" w:rsidP="004446ED">
      <w:pPr>
        <w:pStyle w:val="Listeafsnit"/>
        <w:numPr>
          <w:ilvl w:val="1"/>
          <w:numId w:val="3"/>
        </w:numPr>
        <w:ind w:left="993"/>
      </w:pPr>
      <w:r w:rsidRPr="008D52AD">
        <w:t xml:space="preserve">udstederen eller deltageren på markedet for emissionskvoter er i stand til at sikre disse oplysningers fortrolighed. </w:t>
      </w:r>
    </w:p>
    <w:p w:rsidR="008D52AD" w:rsidRPr="008D52AD" w:rsidRDefault="008D52AD" w:rsidP="00E6258A"/>
    <w:p w:rsidR="008D52AD" w:rsidRPr="008D52AD" w:rsidRDefault="008D52AD" w:rsidP="00E6258A">
      <w:r w:rsidRPr="008D52AD">
        <w:t xml:space="preserve">I tilfælde af en langvarig proces, som foregår i faser, og som har til formål at frembringe, eller som resulterer i et bestemt forhold eller en bestemt hændelse, kan en udsteder eller en deltager på markedet for emissionskvoter på eget ansvar udsætte offentliggørelsen af intern viden, som vedrører denne proces, jf. første afsnits litra a), b) og c). </w:t>
      </w:r>
    </w:p>
    <w:p w:rsidR="008D52AD" w:rsidRPr="008D52AD" w:rsidRDefault="008D52AD"/>
    <w:p w:rsidR="00E6258A" w:rsidRDefault="008D52AD">
      <w:r w:rsidRPr="008D52AD">
        <w:t xml:space="preserve">Hvis en udsteder eller en deltager på markedet for emissionskvoter har udsat offentliggørelsen af intern viden i henhold til dette stykke, skal den pågældende underrette den i stk. 3 specificerede kompetente myndighed om, at offentliggørelsen af denne viden blev udsat, og forelægge en skriftlig redegørelse for, hvordan betingelserne fastsat i dette stykke er opfyldt, så snart denne viden er offentliggjort. Alternativt kan medlemsstaterne fastsætte, at optegnelse med en sådan redegørelse kun skal forelægges på den i stk. 3 specificerede kompetente myndigheds anmodning. </w:t>
      </w:r>
    </w:p>
    <w:p w:rsidR="00B04A7D" w:rsidRDefault="00B04A7D"/>
    <w:p w:rsidR="00B04A7D" w:rsidRDefault="00E6258A" w:rsidP="00B04A7D">
      <w:r>
        <w:t xml:space="preserve">I § </w:t>
      </w:r>
      <w:r w:rsidR="00584F6B">
        <w:t>37</w:t>
      </w:r>
      <w:r>
        <w:t xml:space="preserve"> i lov om </w:t>
      </w:r>
      <w:r w:rsidR="00584F6B">
        <w:t>kapitalmarkeder</w:t>
      </w:r>
      <w:r>
        <w:t xml:space="preserve"> er det bestemt, at redegørelsen kun skal indsendes til Finanstilsynet på anmodning. </w:t>
      </w:r>
      <w:r w:rsidR="00B04A7D">
        <w:t xml:space="preserve">Udstederen er dog altid forpligtet til at udarbejde redegørelsen (f.eks. ved at føre logbog om overvejelserne). </w:t>
      </w:r>
    </w:p>
    <w:p w:rsidR="00E6258A" w:rsidRPr="008D52AD" w:rsidRDefault="00E6258A"/>
    <w:sectPr w:rsidR="00E6258A" w:rsidRPr="008D52AD" w:rsidSect="005E432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13E03"/>
    <w:multiLevelType w:val="hybridMultilevel"/>
    <w:tmpl w:val="8B40A8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F733C38"/>
    <w:multiLevelType w:val="hybridMultilevel"/>
    <w:tmpl w:val="DDE897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4C76882"/>
    <w:multiLevelType w:val="hybridMultilevel"/>
    <w:tmpl w:val="32263D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70B5A09"/>
    <w:multiLevelType w:val="hybridMultilevel"/>
    <w:tmpl w:val="B4C0C98E"/>
    <w:lvl w:ilvl="0" w:tplc="493A9A66">
      <w:start w:val="1"/>
      <w:numFmt w:val="lowerLetter"/>
      <w:lvlText w:val="%1)"/>
      <w:lvlJc w:val="left"/>
      <w:pPr>
        <w:ind w:left="720" w:hanging="360"/>
      </w:pPr>
      <w:rPr>
        <w:rFonts w:hint="default"/>
        <w:sz w:val="21"/>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3D32B35"/>
    <w:multiLevelType w:val="hybridMultilevel"/>
    <w:tmpl w:val="CB2A99DE"/>
    <w:lvl w:ilvl="0" w:tplc="0406000F">
      <w:start w:val="1"/>
      <w:numFmt w:val="decimal"/>
      <w:lvlText w:val="%1."/>
      <w:lvlJc w:val="left"/>
      <w:pPr>
        <w:ind w:left="360" w:hanging="360"/>
      </w:pPr>
      <w:rPr>
        <w:rFonts w:hint="default"/>
      </w:rPr>
    </w:lvl>
    <w:lvl w:ilvl="1" w:tplc="818A3074">
      <w:start w:val="1"/>
      <w:numFmt w:val="lowerLetter"/>
      <w:lvlText w:val="%2)"/>
      <w:lvlJc w:val="left"/>
      <w:pPr>
        <w:ind w:left="1080" w:hanging="360"/>
      </w:pPr>
      <w:rPr>
        <w:rFonts w:hint="default"/>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47846114"/>
    <w:multiLevelType w:val="hybridMultilevel"/>
    <w:tmpl w:val="E5569D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CD350BB"/>
    <w:multiLevelType w:val="hybridMultilevel"/>
    <w:tmpl w:val="A98C02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E495FB2"/>
    <w:multiLevelType w:val="hybridMultilevel"/>
    <w:tmpl w:val="B4C0C98E"/>
    <w:lvl w:ilvl="0" w:tplc="493A9A66">
      <w:start w:val="1"/>
      <w:numFmt w:val="lowerLetter"/>
      <w:lvlText w:val="%1)"/>
      <w:lvlJc w:val="left"/>
      <w:pPr>
        <w:ind w:left="720" w:hanging="360"/>
      </w:pPr>
      <w:rPr>
        <w:rFonts w:hint="default"/>
        <w:sz w:val="21"/>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79E81CFC"/>
    <w:multiLevelType w:val="hybridMultilevel"/>
    <w:tmpl w:val="C5721AE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2"/>
  </w:num>
  <w:num w:numId="5">
    <w:abstractNumId w:val="6"/>
  </w:num>
  <w:num w:numId="6">
    <w:abstractNumId w:val="5"/>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8D52AD"/>
    <w:rsid w:val="00061655"/>
    <w:rsid w:val="000640EA"/>
    <w:rsid w:val="000804CE"/>
    <w:rsid w:val="000E6586"/>
    <w:rsid w:val="00162184"/>
    <w:rsid w:val="001B637F"/>
    <w:rsid w:val="00205C9B"/>
    <w:rsid w:val="00304456"/>
    <w:rsid w:val="003A4BCE"/>
    <w:rsid w:val="003D51DF"/>
    <w:rsid w:val="004446ED"/>
    <w:rsid w:val="00456DFD"/>
    <w:rsid w:val="004F570E"/>
    <w:rsid w:val="0053668E"/>
    <w:rsid w:val="00584F6B"/>
    <w:rsid w:val="005903DD"/>
    <w:rsid w:val="00597FF9"/>
    <w:rsid w:val="005E4329"/>
    <w:rsid w:val="00603033"/>
    <w:rsid w:val="006501E1"/>
    <w:rsid w:val="007E75F4"/>
    <w:rsid w:val="008C6EE4"/>
    <w:rsid w:val="008D52AD"/>
    <w:rsid w:val="008D66F6"/>
    <w:rsid w:val="00A94494"/>
    <w:rsid w:val="00AD490B"/>
    <w:rsid w:val="00B04A7D"/>
    <w:rsid w:val="00B27004"/>
    <w:rsid w:val="00B915A3"/>
    <w:rsid w:val="00BF7444"/>
    <w:rsid w:val="00DE5ECF"/>
    <w:rsid w:val="00E6258A"/>
    <w:rsid w:val="00EA193D"/>
    <w:rsid w:val="00F60597"/>
    <w:rsid w:val="00FF15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C6125"/>
  <w15:docId w15:val="{3AE5308B-BA95-48BE-BE77-DD9ACF5FE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1"/>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597"/>
    <w:pPr>
      <w:spacing w:after="0" w:line="280" w:lineRule="exact"/>
      <w:jc w:val="both"/>
    </w:pPr>
  </w:style>
  <w:style w:type="paragraph" w:styleId="Overskrift1">
    <w:name w:val="heading 1"/>
    <w:basedOn w:val="Normal"/>
    <w:next w:val="Normal"/>
    <w:link w:val="Overskrift1Tegn"/>
    <w:uiPriority w:val="9"/>
    <w:qFormat/>
    <w:rsid w:val="00F60597"/>
    <w:pPr>
      <w:keepNext/>
      <w:keepLines/>
      <w:spacing w:line="480" w:lineRule="exact"/>
      <w:outlineLvl w:val="0"/>
    </w:pPr>
    <w:rPr>
      <w:rFonts w:ascii="Constantia" w:eastAsiaTheme="majorEastAsia" w:hAnsi="Constantia" w:cstheme="majorBidi"/>
      <w:b/>
      <w:bCs/>
      <w:color w:val="990000"/>
      <w:sz w:val="32"/>
      <w:szCs w:val="28"/>
    </w:rPr>
  </w:style>
  <w:style w:type="paragraph" w:styleId="Overskrift2">
    <w:name w:val="heading 2"/>
    <w:basedOn w:val="Normal"/>
    <w:next w:val="Normal"/>
    <w:link w:val="Overskrift2Tegn"/>
    <w:uiPriority w:val="9"/>
    <w:unhideWhenUsed/>
    <w:qFormat/>
    <w:rsid w:val="00F60597"/>
    <w:pPr>
      <w:keepNext/>
      <w:keepLines/>
      <w:outlineLvl w:val="1"/>
    </w:pPr>
    <w:rPr>
      <w:rFonts w:ascii="Constantia" w:eastAsiaTheme="majorEastAsia" w:hAnsi="Constantia" w:cstheme="majorBidi"/>
      <w:b/>
      <w:bCs/>
      <w:sz w:val="22"/>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60597"/>
    <w:rPr>
      <w:rFonts w:ascii="Constantia" w:eastAsiaTheme="majorEastAsia" w:hAnsi="Constantia" w:cstheme="majorBidi"/>
      <w:b/>
      <w:bCs/>
      <w:color w:val="990000"/>
      <w:sz w:val="32"/>
      <w:szCs w:val="28"/>
    </w:rPr>
  </w:style>
  <w:style w:type="character" w:customStyle="1" w:styleId="Overskrift2Tegn">
    <w:name w:val="Overskrift 2 Tegn"/>
    <w:basedOn w:val="Standardskrifttypeiafsnit"/>
    <w:link w:val="Overskrift2"/>
    <w:uiPriority w:val="9"/>
    <w:rsid w:val="00F60597"/>
    <w:rPr>
      <w:rFonts w:ascii="Constantia" w:eastAsiaTheme="majorEastAsia" w:hAnsi="Constantia" w:cstheme="majorBidi"/>
      <w:b/>
      <w:bCs/>
      <w:sz w:val="22"/>
      <w:szCs w:val="26"/>
    </w:rPr>
  </w:style>
  <w:style w:type="paragraph" w:customStyle="1" w:styleId="CM1">
    <w:name w:val="CM1"/>
    <w:basedOn w:val="Normal"/>
    <w:next w:val="Normal"/>
    <w:uiPriority w:val="99"/>
    <w:rsid w:val="008D52AD"/>
    <w:pPr>
      <w:autoSpaceDE w:val="0"/>
      <w:autoSpaceDN w:val="0"/>
      <w:adjustRightInd w:val="0"/>
      <w:spacing w:line="240" w:lineRule="auto"/>
      <w:jc w:val="left"/>
    </w:pPr>
    <w:rPr>
      <w:rFonts w:ascii="EUAlbertina" w:hAnsi="EUAlbertina"/>
      <w:sz w:val="24"/>
      <w:szCs w:val="24"/>
    </w:rPr>
  </w:style>
  <w:style w:type="paragraph" w:customStyle="1" w:styleId="CM3">
    <w:name w:val="CM3"/>
    <w:basedOn w:val="Normal"/>
    <w:next w:val="Normal"/>
    <w:uiPriority w:val="99"/>
    <w:rsid w:val="008D52AD"/>
    <w:pPr>
      <w:autoSpaceDE w:val="0"/>
      <w:autoSpaceDN w:val="0"/>
      <w:adjustRightInd w:val="0"/>
      <w:spacing w:line="240" w:lineRule="auto"/>
      <w:jc w:val="left"/>
    </w:pPr>
    <w:rPr>
      <w:rFonts w:ascii="EUAlbertina" w:hAnsi="EUAlbertina"/>
      <w:sz w:val="24"/>
      <w:szCs w:val="24"/>
    </w:rPr>
  </w:style>
  <w:style w:type="paragraph" w:customStyle="1" w:styleId="CM4">
    <w:name w:val="CM4"/>
    <w:basedOn w:val="Normal"/>
    <w:next w:val="Normal"/>
    <w:uiPriority w:val="99"/>
    <w:rsid w:val="008D52AD"/>
    <w:pPr>
      <w:autoSpaceDE w:val="0"/>
      <w:autoSpaceDN w:val="0"/>
      <w:adjustRightInd w:val="0"/>
      <w:spacing w:line="240" w:lineRule="auto"/>
      <w:jc w:val="left"/>
    </w:pPr>
    <w:rPr>
      <w:rFonts w:ascii="EUAlbertina" w:hAnsi="EUAlbertina"/>
      <w:sz w:val="24"/>
      <w:szCs w:val="24"/>
    </w:rPr>
  </w:style>
  <w:style w:type="paragraph" w:styleId="Listeafsnit">
    <w:name w:val="List Paragraph"/>
    <w:basedOn w:val="Normal"/>
    <w:uiPriority w:val="34"/>
    <w:rsid w:val="008D52AD"/>
    <w:pPr>
      <w:ind w:left="720"/>
      <w:contextualSpacing/>
    </w:pPr>
  </w:style>
  <w:style w:type="table" w:styleId="Tabel-Gitter">
    <w:name w:val="Table Grid"/>
    <w:basedOn w:val="Tabel-Normal"/>
    <w:uiPriority w:val="59"/>
    <w:rsid w:val="008D5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E6258A"/>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625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FT farver">
      <a:dk1>
        <a:sysClr val="windowText" lastClr="000000"/>
      </a:dk1>
      <a:lt1>
        <a:sysClr val="window" lastClr="FFFFFF"/>
      </a:lt1>
      <a:dk2>
        <a:srgbClr val="5F1A15"/>
      </a:dk2>
      <a:lt2>
        <a:srgbClr val="F0E1CD"/>
      </a:lt2>
      <a:accent1>
        <a:srgbClr val="990000"/>
      </a:accent1>
      <a:accent2>
        <a:srgbClr val="FF9933"/>
      </a:accent2>
      <a:accent3>
        <a:srgbClr val="00505F"/>
      </a:accent3>
      <a:accent4>
        <a:srgbClr val="82A0AA"/>
      </a:accent4>
      <a:accent5>
        <a:srgbClr val="1E5F32"/>
      </a:accent5>
      <a:accent6>
        <a:srgbClr val="9BD2AA"/>
      </a:accent6>
      <a:hlink>
        <a:srgbClr val="990000"/>
      </a:hlink>
      <a:folHlink>
        <a:srgbClr val="FF9933"/>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BB5F2-1E76-4BC9-8CE3-814190BCF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370</Words>
  <Characters>2264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Finanstilsynet</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Bruun (FT)</dc:creator>
  <cp:lastModifiedBy>Frederikke Krogh Rohrberg (FT)</cp:lastModifiedBy>
  <cp:revision>3</cp:revision>
  <cp:lastPrinted>2016-12-12T11:42:00Z</cp:lastPrinted>
  <dcterms:created xsi:type="dcterms:W3CDTF">2016-12-13T11:27:00Z</dcterms:created>
  <dcterms:modified xsi:type="dcterms:W3CDTF">2018-01-04T07:46:00Z</dcterms:modified>
</cp:coreProperties>
</file>